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FD44D" w14:textId="2C054658" w:rsidR="008E7B25" w:rsidRPr="00B439BD" w:rsidRDefault="00B439BD" w:rsidP="00B439BD">
      <w:pPr>
        <w:jc w:val="center"/>
        <w:rPr>
          <w:b/>
          <w:bCs/>
          <w:sz w:val="32"/>
          <w:szCs w:val="32"/>
        </w:rPr>
      </w:pPr>
      <w:r w:rsidRPr="00B439BD">
        <w:rPr>
          <w:b/>
          <w:bCs/>
          <w:sz w:val="32"/>
          <w:szCs w:val="32"/>
        </w:rPr>
        <w:t>Voting Rig</w:t>
      </w:r>
      <w:bookmarkStart w:id="0" w:name="_GoBack"/>
      <w:bookmarkEnd w:id="0"/>
      <w:r w:rsidRPr="00B439BD">
        <w:rPr>
          <w:b/>
          <w:bCs/>
          <w:sz w:val="32"/>
          <w:szCs w:val="32"/>
        </w:rPr>
        <w:t>hts Advancement Act, H.R. 4 and S. 561</w:t>
      </w:r>
    </w:p>
    <w:p w14:paraId="61687209" w14:textId="50699B8F" w:rsidR="00B439BD" w:rsidRDefault="00B439BD" w:rsidP="00B439BD">
      <w:pPr>
        <w:rPr>
          <w:b/>
          <w:bCs/>
          <w:sz w:val="24"/>
          <w:szCs w:val="24"/>
          <w:u w:val="single"/>
        </w:rPr>
      </w:pPr>
      <w:r>
        <w:rPr>
          <w:b/>
          <w:bCs/>
          <w:sz w:val="24"/>
          <w:szCs w:val="24"/>
          <w:u w:val="single"/>
        </w:rPr>
        <w:t>Talking Points</w:t>
      </w:r>
    </w:p>
    <w:p w14:paraId="23A59F99" w14:textId="7BD8CE16" w:rsidR="00B11DFE" w:rsidRPr="00B11DFE" w:rsidRDefault="00B439BD" w:rsidP="00B11DFE">
      <w:pPr>
        <w:pStyle w:val="ListParagraph"/>
        <w:numPr>
          <w:ilvl w:val="0"/>
          <w:numId w:val="2"/>
        </w:numPr>
        <w:rPr>
          <w:rFonts w:eastAsiaTheme="minorEastAsia"/>
        </w:rPr>
      </w:pPr>
      <w:r w:rsidRPr="00ED2E46">
        <w:rPr>
          <w:rFonts w:eastAsiaTheme="minorEastAsia"/>
        </w:rPr>
        <w:t>The VRAA restores and modernizes the original protections of the Voting Rights Act of 1965 (VRA)</w:t>
      </w:r>
      <w:r w:rsidR="0094772C">
        <w:rPr>
          <w:rFonts w:eastAsiaTheme="minorEastAsia"/>
        </w:rPr>
        <w:t xml:space="preserve">. The </w:t>
      </w:r>
      <w:r w:rsidR="004E5020">
        <w:rPr>
          <w:rFonts w:eastAsiaTheme="minorEastAsia"/>
        </w:rPr>
        <w:t>goal of the legi</w:t>
      </w:r>
      <w:r w:rsidR="00055B17">
        <w:rPr>
          <w:rFonts w:eastAsiaTheme="minorEastAsia"/>
        </w:rPr>
        <w:t>slation is</w:t>
      </w:r>
      <w:r w:rsidRPr="00ED2E46">
        <w:rPr>
          <w:rFonts w:eastAsiaTheme="minorEastAsia"/>
        </w:rPr>
        <w:t xml:space="preserve"> to combat </w:t>
      </w:r>
      <w:r w:rsidR="00055B17">
        <w:rPr>
          <w:rFonts w:eastAsiaTheme="minorEastAsia"/>
        </w:rPr>
        <w:t>the influx of</w:t>
      </w:r>
      <w:r w:rsidRPr="00ED2E46">
        <w:rPr>
          <w:rFonts w:eastAsiaTheme="minorEastAsia"/>
        </w:rPr>
        <w:t xml:space="preserve"> discriminatory voting requirements that states have enacted that disproportionately prevent minorities, the elderly, and youth from voting.</w:t>
      </w:r>
    </w:p>
    <w:p w14:paraId="7E8190F1" w14:textId="17549131" w:rsidR="00B439BD" w:rsidRDefault="00B439BD" w:rsidP="00B439BD">
      <w:pPr>
        <w:pStyle w:val="ListParagraph"/>
        <w:numPr>
          <w:ilvl w:val="0"/>
          <w:numId w:val="1"/>
        </w:numPr>
      </w:pPr>
      <w:r>
        <w:t>The VRAA would:</w:t>
      </w:r>
    </w:p>
    <w:p w14:paraId="19850001" w14:textId="47670F63" w:rsidR="00B11DFE" w:rsidRPr="00B11DFE" w:rsidRDefault="00B11DFE" w:rsidP="00B11DFE">
      <w:pPr>
        <w:pStyle w:val="ListParagraph"/>
        <w:numPr>
          <w:ilvl w:val="1"/>
          <w:numId w:val="1"/>
        </w:numPr>
      </w:pPr>
      <w:r w:rsidRPr="00B11DFE">
        <w:t>establish a targeted process for reviewing voting changes based on measures that have historically been used to discriminate against voters. The process for reviewing changes in voting is limited to a certain set of circumstances, such as establishing photo ID laws or reducing multilingual voting materials, which have been shown to have a discriminatory impact</w:t>
      </w:r>
      <w:r w:rsidR="005C746D">
        <w:t>,</w:t>
      </w:r>
    </w:p>
    <w:p w14:paraId="559E08E1" w14:textId="727A9BF9" w:rsidR="00B11DFE" w:rsidRDefault="00B11DFE" w:rsidP="00B11DFE">
      <w:pPr>
        <w:pStyle w:val="ListParagraph"/>
        <w:numPr>
          <w:ilvl w:val="1"/>
          <w:numId w:val="1"/>
        </w:numPr>
      </w:pPr>
      <w:r w:rsidRPr="00B11DFE">
        <w:t>increase transparency by requiring reasonable public notice for voting changes</w:t>
      </w:r>
      <w:r w:rsidR="005C746D">
        <w:t>, and</w:t>
      </w:r>
    </w:p>
    <w:p w14:paraId="2252C371" w14:textId="64BEA128" w:rsidR="00B439BD" w:rsidRDefault="00B11DFE" w:rsidP="00B11DFE">
      <w:pPr>
        <w:pStyle w:val="ListParagraph"/>
        <w:numPr>
          <w:ilvl w:val="1"/>
          <w:numId w:val="1"/>
        </w:numPr>
      </w:pPr>
      <w:r w:rsidRPr="00B11DFE">
        <w:t>allow the Attorney General authority to request federal observers to be present anywhere in the country where a serious threat to voter access and fair elections exists</w:t>
      </w:r>
      <w:r w:rsidR="005C746D">
        <w:t>.</w:t>
      </w:r>
    </w:p>
    <w:p w14:paraId="22A8F4A1" w14:textId="435F5AB3" w:rsidR="00B11DFE" w:rsidRDefault="00B11DFE" w:rsidP="00B11DFE">
      <w:pPr>
        <w:rPr>
          <w:b/>
          <w:bCs/>
          <w:sz w:val="24"/>
          <w:szCs w:val="24"/>
          <w:u w:val="single"/>
        </w:rPr>
      </w:pPr>
      <w:r w:rsidRPr="00B11DFE">
        <w:rPr>
          <w:b/>
          <w:bCs/>
          <w:sz w:val="24"/>
          <w:szCs w:val="24"/>
          <w:u w:val="single"/>
        </w:rPr>
        <w:t>History of the VRAA</w:t>
      </w:r>
    </w:p>
    <w:p w14:paraId="75C6D3AB" w14:textId="62388BF6" w:rsidR="00B11DFE" w:rsidRPr="005027C6" w:rsidRDefault="00293BAE" w:rsidP="005027C6">
      <w:pPr>
        <w:ind w:firstLine="360"/>
        <w:rPr>
          <w:rFonts w:eastAsiaTheme="minorEastAsia"/>
        </w:rPr>
      </w:pPr>
      <w:r>
        <w:rPr>
          <w:rFonts w:eastAsiaTheme="minorEastAsia"/>
        </w:rPr>
        <w:t xml:space="preserve">The </w:t>
      </w:r>
      <w:r w:rsidR="00B11DFE" w:rsidRPr="005027C6">
        <w:rPr>
          <w:rFonts w:eastAsiaTheme="minorEastAsia"/>
        </w:rPr>
        <w:t xml:space="preserve">Supreme Court </w:t>
      </w:r>
      <w:r>
        <w:rPr>
          <w:rFonts w:eastAsiaTheme="minorEastAsia"/>
        </w:rPr>
        <w:t>d</w:t>
      </w:r>
      <w:r w:rsidR="00B11DFE" w:rsidRPr="005027C6">
        <w:rPr>
          <w:rFonts w:eastAsiaTheme="minorEastAsia"/>
        </w:rPr>
        <w:t>ecision,</w:t>
      </w:r>
      <w:r w:rsidR="00B11DFE">
        <w:rPr>
          <w:rFonts w:eastAsiaTheme="minorEastAsia"/>
          <w:i/>
          <w:iCs/>
        </w:rPr>
        <w:t xml:space="preserve"> </w:t>
      </w:r>
      <w:hyperlink r:id="rId8" w:history="1">
        <w:r w:rsidR="00B11DFE" w:rsidRPr="00760BA0">
          <w:rPr>
            <w:rStyle w:val="Hyperlink"/>
            <w:rFonts w:eastAsiaTheme="minorEastAsia"/>
            <w:i/>
            <w:iCs/>
          </w:rPr>
          <w:t>Shelby County v. Holder</w:t>
        </w:r>
      </w:hyperlink>
      <w:r w:rsidR="00B11DFE" w:rsidRPr="00B11DFE">
        <w:rPr>
          <w:rFonts w:eastAsiaTheme="minorEastAsia"/>
        </w:rPr>
        <w:t xml:space="preserve"> </w:t>
      </w:r>
      <w:r>
        <w:rPr>
          <w:rFonts w:eastAsiaTheme="minorEastAsia"/>
        </w:rPr>
        <w:t>(201</w:t>
      </w:r>
      <w:r w:rsidR="003B1FE5">
        <w:rPr>
          <w:rFonts w:eastAsiaTheme="minorEastAsia"/>
        </w:rPr>
        <w:t xml:space="preserve">3) </w:t>
      </w:r>
      <w:r w:rsidR="00B11DFE" w:rsidRPr="0085293F">
        <w:t>invalidated the section of the Voting Rights Act</w:t>
      </w:r>
      <w:r w:rsidR="005027C6">
        <w:t xml:space="preserve"> of 1965</w:t>
      </w:r>
      <w:r w:rsidR="00B11DFE" w:rsidRPr="0085293F">
        <w:t xml:space="preserve"> that required certain states and local governments to obtain federal approval before implementing any changes to their voting laws or practices</w:t>
      </w:r>
      <w:r w:rsidR="005027C6">
        <w:t xml:space="preserve"> if the states had a history of voting discrimination against </w:t>
      </w:r>
      <w:r w:rsidR="005027C6" w:rsidRPr="1DEB5465">
        <w:rPr>
          <w:rFonts w:ascii="Calibri" w:eastAsia="Calibri" w:hAnsi="Calibri" w:cs="Calibri"/>
        </w:rPr>
        <w:t>racial, ethnic, and language minorities</w:t>
      </w:r>
      <w:r w:rsidR="00B11DFE">
        <w:t xml:space="preserve">. </w:t>
      </w:r>
      <w:r w:rsidR="005027C6">
        <w:t xml:space="preserve">The </w:t>
      </w:r>
      <w:r w:rsidR="00C53514">
        <w:t>Court said</w:t>
      </w:r>
      <w:r w:rsidR="00B11DFE" w:rsidRPr="0085293F">
        <w:t xml:space="preserve"> the formula that determined which jurisdictions fall under federal oversight</w:t>
      </w:r>
      <w:r w:rsidR="00C53514">
        <w:t xml:space="preserve"> was out of date</w:t>
      </w:r>
      <w:r w:rsidR="00C53514">
        <w:rPr>
          <w:rFonts w:eastAsiaTheme="minorEastAsia"/>
        </w:rPr>
        <w:t xml:space="preserve"> and</w:t>
      </w:r>
      <w:r w:rsidR="00B11DFE">
        <w:t xml:space="preserve"> </w:t>
      </w:r>
      <w:r w:rsidR="00A26B3E">
        <w:t>instructed that it was on</w:t>
      </w:r>
      <w:r w:rsidR="00B11DFE">
        <w:t xml:space="preserve"> Congress to come up with a modern-day formula that protects voting rights. The Voting Rights Advancement Act accomplishes this by enacting voter protections for states with a record of suppressive voting practices over the last 25 years.</w:t>
      </w:r>
    </w:p>
    <w:p w14:paraId="3C275F9E" w14:textId="5F4F986F" w:rsidR="00B11DFE" w:rsidRDefault="005027C6" w:rsidP="005027C6">
      <w:r>
        <w:tab/>
      </w:r>
      <w:r w:rsidRPr="005027C6">
        <w:t xml:space="preserve">House </w:t>
      </w:r>
      <w:r w:rsidR="000E1B3A">
        <w:t>of</w:t>
      </w:r>
      <w:r w:rsidRPr="005027C6">
        <w:t xml:space="preserve"> Representative </w:t>
      </w:r>
      <w:r w:rsidR="009023D1">
        <w:t xml:space="preserve">member </w:t>
      </w:r>
      <w:r w:rsidRPr="005027C6">
        <w:t>Terri Sewell of Alabama</w:t>
      </w:r>
      <w:r>
        <w:t xml:space="preserve"> introduced this bill and similar versions in every session of </w:t>
      </w:r>
      <w:r w:rsidR="00833F11">
        <w:t>C</w:t>
      </w:r>
      <w:r>
        <w:t xml:space="preserve">ongress since the </w:t>
      </w:r>
      <w:r w:rsidRPr="005027C6">
        <w:rPr>
          <w:i/>
          <w:iCs/>
        </w:rPr>
        <w:t>Shelby County v. Holder</w:t>
      </w:r>
      <w:r>
        <w:t xml:space="preserve"> decision.</w:t>
      </w:r>
    </w:p>
    <w:p w14:paraId="27E5B937" w14:textId="22DD1769" w:rsidR="009128BE" w:rsidRDefault="009128BE" w:rsidP="009128BE">
      <w:pPr>
        <w:rPr>
          <w:b/>
          <w:bCs/>
          <w:sz w:val="24"/>
          <w:szCs w:val="24"/>
          <w:u w:val="single"/>
        </w:rPr>
      </w:pPr>
      <w:r w:rsidRPr="00B11DFE">
        <w:rPr>
          <w:b/>
          <w:bCs/>
          <w:sz w:val="24"/>
          <w:szCs w:val="24"/>
          <w:u w:val="single"/>
        </w:rPr>
        <w:t xml:space="preserve">History of the </w:t>
      </w:r>
      <w:r>
        <w:rPr>
          <w:b/>
          <w:bCs/>
          <w:sz w:val="24"/>
          <w:szCs w:val="24"/>
          <w:u w:val="single"/>
        </w:rPr>
        <w:t>League of Women Voters</w:t>
      </w:r>
    </w:p>
    <w:p w14:paraId="16D7EA3E" w14:textId="0B97BDAF" w:rsidR="009128BE" w:rsidRDefault="0089118C" w:rsidP="002A3143">
      <w:pPr>
        <w:ind w:firstLine="720"/>
      </w:pPr>
      <w:r>
        <w:t>Rooted in the movement that secured the right to vote for women, the League has worked to foster civic engagement and enhance access to the vote since our organization was founded in 1920. Over time our work has evolved from efforts to gain and foster women’s suffrage to ensuring that all eli</w:t>
      </w:r>
      <w:r w:rsidR="00082CE5">
        <w:t>gi</w:t>
      </w:r>
      <w:r>
        <w:t>ble voter</w:t>
      </w:r>
      <w:r w:rsidR="00082CE5">
        <w:t>s</w:t>
      </w:r>
      <w:r>
        <w:t xml:space="preserve"> – particularly those from traditionally underrepresented or underserved communities, including first-time voters, non-college youth, new citizens, minorities and low-inc</w:t>
      </w:r>
      <w:r w:rsidR="00082CE5">
        <w:t>o</w:t>
      </w:r>
      <w:r>
        <w:t>me Americans – have the opportunity and the information they need to exercise their right to vote.</w:t>
      </w:r>
    </w:p>
    <w:p w14:paraId="15C4A8E5" w14:textId="57549081" w:rsidR="0089118C" w:rsidRDefault="0089118C" w:rsidP="002A3143">
      <w:pPr>
        <w:ind w:firstLine="720"/>
      </w:pPr>
      <w:r>
        <w:t>The League’s mission – Making Democracy Work – includes ensuring a free, fair and accessible electoral system for all eligible voters. The League works year-round to combat voter suppression through advocacy, grassroots organizing, legal action and public education. Our efforts have resulted in the protection of voting rights and ballot access for</w:t>
      </w:r>
      <w:r w:rsidR="0015074D">
        <w:t xml:space="preserve"> over 5</w:t>
      </w:r>
      <w:r>
        <w:t xml:space="preserve"> million of Americans</w:t>
      </w:r>
      <w:r w:rsidR="0015074D">
        <w:t xml:space="preserve"> this biennium</w:t>
      </w:r>
      <w:r>
        <w:t>.</w:t>
      </w:r>
    </w:p>
    <w:p w14:paraId="24A19285" w14:textId="0B5E62FD" w:rsidR="009128BE" w:rsidRPr="00B11DFE" w:rsidRDefault="0089118C" w:rsidP="002A3143">
      <w:pPr>
        <w:ind w:firstLine="720"/>
      </w:pPr>
      <w:r>
        <w:t xml:space="preserve">We seek to protect and expand voting rights through advocating for proactive reforms such as expanded early voting and online voter registration, ensuring existing pro-voter laws are being followed and challenging all efforts that limit the ability of </w:t>
      </w:r>
      <w:r w:rsidR="002A3143">
        <w:t>voters</w:t>
      </w:r>
      <w:r>
        <w:t xml:space="preserve"> to exercise this basic right. </w:t>
      </w:r>
    </w:p>
    <w:sectPr w:rsidR="009128BE" w:rsidRPr="00B11DFE" w:rsidSect="009023D1">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12F28"/>
    <w:multiLevelType w:val="hybridMultilevel"/>
    <w:tmpl w:val="2140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B0E29"/>
    <w:multiLevelType w:val="hybridMultilevel"/>
    <w:tmpl w:val="FE06E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1BA8"/>
    <w:multiLevelType w:val="hybridMultilevel"/>
    <w:tmpl w:val="835CF3E2"/>
    <w:lvl w:ilvl="0" w:tplc="E408C476">
      <w:start w:val="1"/>
      <w:numFmt w:val="bullet"/>
      <w:lvlText w:val=""/>
      <w:lvlJc w:val="left"/>
      <w:pPr>
        <w:ind w:left="720" w:hanging="360"/>
      </w:pPr>
      <w:rPr>
        <w:rFonts w:ascii="Symbol" w:hAnsi="Symbol" w:hint="default"/>
      </w:rPr>
    </w:lvl>
    <w:lvl w:ilvl="1" w:tplc="8AD0E332">
      <w:start w:val="1"/>
      <w:numFmt w:val="bullet"/>
      <w:lvlText w:val="o"/>
      <w:lvlJc w:val="left"/>
      <w:pPr>
        <w:ind w:left="1440" w:hanging="360"/>
      </w:pPr>
      <w:rPr>
        <w:rFonts w:ascii="Courier New" w:hAnsi="Courier New" w:hint="default"/>
      </w:rPr>
    </w:lvl>
    <w:lvl w:ilvl="2" w:tplc="8BEE8D06">
      <w:start w:val="1"/>
      <w:numFmt w:val="bullet"/>
      <w:lvlText w:val=""/>
      <w:lvlJc w:val="left"/>
      <w:pPr>
        <w:ind w:left="2160" w:hanging="360"/>
      </w:pPr>
      <w:rPr>
        <w:rFonts w:ascii="Wingdings" w:hAnsi="Wingdings" w:hint="default"/>
      </w:rPr>
    </w:lvl>
    <w:lvl w:ilvl="3" w:tplc="83561102">
      <w:start w:val="1"/>
      <w:numFmt w:val="bullet"/>
      <w:lvlText w:val=""/>
      <w:lvlJc w:val="left"/>
      <w:pPr>
        <w:ind w:left="2880" w:hanging="360"/>
      </w:pPr>
      <w:rPr>
        <w:rFonts w:ascii="Symbol" w:hAnsi="Symbol" w:hint="default"/>
      </w:rPr>
    </w:lvl>
    <w:lvl w:ilvl="4" w:tplc="DBA00350">
      <w:start w:val="1"/>
      <w:numFmt w:val="bullet"/>
      <w:lvlText w:val="o"/>
      <w:lvlJc w:val="left"/>
      <w:pPr>
        <w:ind w:left="3600" w:hanging="360"/>
      </w:pPr>
      <w:rPr>
        <w:rFonts w:ascii="Courier New" w:hAnsi="Courier New" w:hint="default"/>
      </w:rPr>
    </w:lvl>
    <w:lvl w:ilvl="5" w:tplc="85BAB164">
      <w:start w:val="1"/>
      <w:numFmt w:val="bullet"/>
      <w:lvlText w:val=""/>
      <w:lvlJc w:val="left"/>
      <w:pPr>
        <w:ind w:left="4320" w:hanging="360"/>
      </w:pPr>
      <w:rPr>
        <w:rFonts w:ascii="Wingdings" w:hAnsi="Wingdings" w:hint="default"/>
      </w:rPr>
    </w:lvl>
    <w:lvl w:ilvl="6" w:tplc="DB0015EC">
      <w:start w:val="1"/>
      <w:numFmt w:val="bullet"/>
      <w:lvlText w:val=""/>
      <w:lvlJc w:val="left"/>
      <w:pPr>
        <w:ind w:left="5040" w:hanging="360"/>
      </w:pPr>
      <w:rPr>
        <w:rFonts w:ascii="Symbol" w:hAnsi="Symbol" w:hint="default"/>
      </w:rPr>
    </w:lvl>
    <w:lvl w:ilvl="7" w:tplc="4A36663E">
      <w:start w:val="1"/>
      <w:numFmt w:val="bullet"/>
      <w:lvlText w:val="o"/>
      <w:lvlJc w:val="left"/>
      <w:pPr>
        <w:ind w:left="5760" w:hanging="360"/>
      </w:pPr>
      <w:rPr>
        <w:rFonts w:ascii="Courier New" w:hAnsi="Courier New" w:hint="default"/>
      </w:rPr>
    </w:lvl>
    <w:lvl w:ilvl="8" w:tplc="B9D2338A">
      <w:start w:val="1"/>
      <w:numFmt w:val="bullet"/>
      <w:lvlText w:val=""/>
      <w:lvlJc w:val="left"/>
      <w:pPr>
        <w:ind w:left="6480" w:hanging="360"/>
      </w:pPr>
      <w:rPr>
        <w:rFonts w:ascii="Wingdings" w:hAnsi="Wingdings" w:hint="default"/>
      </w:rPr>
    </w:lvl>
  </w:abstractNum>
  <w:abstractNum w:abstractNumId="3" w15:restartNumberingAfterBreak="0">
    <w:nsid w:val="5D305785"/>
    <w:multiLevelType w:val="hybridMultilevel"/>
    <w:tmpl w:val="AD307A52"/>
    <w:lvl w:ilvl="0" w:tplc="2F1EE8EE">
      <w:start w:val="1"/>
      <w:numFmt w:val="bullet"/>
      <w:lvlText w:val=""/>
      <w:lvlJc w:val="left"/>
      <w:pPr>
        <w:ind w:left="720" w:hanging="360"/>
      </w:pPr>
      <w:rPr>
        <w:rFonts w:ascii="Symbol" w:hAnsi="Symbol" w:hint="default"/>
      </w:rPr>
    </w:lvl>
    <w:lvl w:ilvl="1" w:tplc="7AA45AAC">
      <w:start w:val="1"/>
      <w:numFmt w:val="bullet"/>
      <w:lvlText w:val="o"/>
      <w:lvlJc w:val="left"/>
      <w:pPr>
        <w:ind w:left="1440" w:hanging="360"/>
      </w:pPr>
      <w:rPr>
        <w:rFonts w:ascii="Courier New" w:hAnsi="Courier New" w:hint="default"/>
      </w:rPr>
    </w:lvl>
    <w:lvl w:ilvl="2" w:tplc="05FC0016">
      <w:start w:val="1"/>
      <w:numFmt w:val="bullet"/>
      <w:lvlText w:val=""/>
      <w:lvlJc w:val="left"/>
      <w:pPr>
        <w:ind w:left="2160" w:hanging="360"/>
      </w:pPr>
      <w:rPr>
        <w:rFonts w:ascii="Wingdings" w:hAnsi="Wingdings" w:hint="default"/>
      </w:rPr>
    </w:lvl>
    <w:lvl w:ilvl="3" w:tplc="87EE4598">
      <w:start w:val="1"/>
      <w:numFmt w:val="bullet"/>
      <w:lvlText w:val=""/>
      <w:lvlJc w:val="left"/>
      <w:pPr>
        <w:ind w:left="2880" w:hanging="360"/>
      </w:pPr>
      <w:rPr>
        <w:rFonts w:ascii="Symbol" w:hAnsi="Symbol" w:hint="default"/>
      </w:rPr>
    </w:lvl>
    <w:lvl w:ilvl="4" w:tplc="3370D79E">
      <w:start w:val="1"/>
      <w:numFmt w:val="bullet"/>
      <w:lvlText w:val="o"/>
      <w:lvlJc w:val="left"/>
      <w:pPr>
        <w:ind w:left="3600" w:hanging="360"/>
      </w:pPr>
      <w:rPr>
        <w:rFonts w:ascii="Courier New" w:hAnsi="Courier New" w:hint="default"/>
      </w:rPr>
    </w:lvl>
    <w:lvl w:ilvl="5" w:tplc="89FC2078">
      <w:start w:val="1"/>
      <w:numFmt w:val="bullet"/>
      <w:lvlText w:val=""/>
      <w:lvlJc w:val="left"/>
      <w:pPr>
        <w:ind w:left="4320" w:hanging="360"/>
      </w:pPr>
      <w:rPr>
        <w:rFonts w:ascii="Wingdings" w:hAnsi="Wingdings" w:hint="default"/>
      </w:rPr>
    </w:lvl>
    <w:lvl w:ilvl="6" w:tplc="F774A5CA">
      <w:start w:val="1"/>
      <w:numFmt w:val="bullet"/>
      <w:lvlText w:val=""/>
      <w:lvlJc w:val="left"/>
      <w:pPr>
        <w:ind w:left="5040" w:hanging="360"/>
      </w:pPr>
      <w:rPr>
        <w:rFonts w:ascii="Symbol" w:hAnsi="Symbol" w:hint="default"/>
      </w:rPr>
    </w:lvl>
    <w:lvl w:ilvl="7" w:tplc="C45C81C2">
      <w:start w:val="1"/>
      <w:numFmt w:val="bullet"/>
      <w:lvlText w:val="o"/>
      <w:lvlJc w:val="left"/>
      <w:pPr>
        <w:ind w:left="5760" w:hanging="360"/>
      </w:pPr>
      <w:rPr>
        <w:rFonts w:ascii="Courier New" w:hAnsi="Courier New" w:hint="default"/>
      </w:rPr>
    </w:lvl>
    <w:lvl w:ilvl="8" w:tplc="54302A9E">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BD"/>
    <w:rsid w:val="00055B17"/>
    <w:rsid w:val="00082CE5"/>
    <w:rsid w:val="000E1B3A"/>
    <w:rsid w:val="0015074D"/>
    <w:rsid w:val="00293BAE"/>
    <w:rsid w:val="002A3143"/>
    <w:rsid w:val="00335ADD"/>
    <w:rsid w:val="0038449E"/>
    <w:rsid w:val="003B1FE5"/>
    <w:rsid w:val="00467359"/>
    <w:rsid w:val="004B36E1"/>
    <w:rsid w:val="004E142D"/>
    <w:rsid w:val="004E5020"/>
    <w:rsid w:val="005027C6"/>
    <w:rsid w:val="00581CDA"/>
    <w:rsid w:val="005C10F1"/>
    <w:rsid w:val="005C746D"/>
    <w:rsid w:val="00760BA0"/>
    <w:rsid w:val="00833F11"/>
    <w:rsid w:val="0089118C"/>
    <w:rsid w:val="009023D1"/>
    <w:rsid w:val="009128BE"/>
    <w:rsid w:val="0094772C"/>
    <w:rsid w:val="009E42FA"/>
    <w:rsid w:val="00A26B3E"/>
    <w:rsid w:val="00B11DFE"/>
    <w:rsid w:val="00B439BD"/>
    <w:rsid w:val="00C53514"/>
    <w:rsid w:val="00E420B9"/>
    <w:rsid w:val="00F07859"/>
    <w:rsid w:val="00F143F1"/>
    <w:rsid w:val="293E9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93BF"/>
  <w15:chartTrackingRefBased/>
  <w15:docId w15:val="{541B1DAF-10C0-412B-B1D4-7749F30D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9BD"/>
    <w:pPr>
      <w:ind w:left="720"/>
      <w:contextualSpacing/>
    </w:pPr>
  </w:style>
  <w:style w:type="paragraph" w:styleId="BalloonText">
    <w:name w:val="Balloon Text"/>
    <w:basedOn w:val="Normal"/>
    <w:link w:val="BalloonTextChar"/>
    <w:uiPriority w:val="99"/>
    <w:semiHidden/>
    <w:unhideWhenUsed/>
    <w:rsid w:val="00B43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9BD"/>
    <w:rPr>
      <w:rFonts w:ascii="Segoe UI" w:hAnsi="Segoe UI" w:cs="Segoe UI"/>
      <w:sz w:val="18"/>
      <w:szCs w:val="18"/>
    </w:rPr>
  </w:style>
  <w:style w:type="character" w:styleId="Hyperlink">
    <w:name w:val="Hyperlink"/>
    <w:basedOn w:val="DefaultParagraphFont"/>
    <w:uiPriority w:val="99"/>
    <w:unhideWhenUsed/>
    <w:rsid w:val="00760BA0"/>
    <w:rPr>
      <w:color w:val="0563C1" w:themeColor="hyperlink"/>
      <w:u w:val="single"/>
    </w:rPr>
  </w:style>
  <w:style w:type="character" w:styleId="UnresolvedMention">
    <w:name w:val="Unresolved Mention"/>
    <w:basedOn w:val="DefaultParagraphFont"/>
    <w:uiPriority w:val="99"/>
    <w:semiHidden/>
    <w:unhideWhenUsed/>
    <w:rsid w:val="00760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v.org/blog/one-year-after-shelby-decision-fight-continues-protect-equal-access-vot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C4BB02374794F9B136759F3587B63" ma:contentTypeVersion="10" ma:contentTypeDescription="Create a new document." ma:contentTypeScope="" ma:versionID="a4ccbf6821fec0e70414c8065f8ee641">
  <xsd:schema xmlns:xsd="http://www.w3.org/2001/XMLSchema" xmlns:xs="http://www.w3.org/2001/XMLSchema" xmlns:p="http://schemas.microsoft.com/office/2006/metadata/properties" xmlns:ns2="7403c2c6-2717-4fee-bd00-fefff81a513a" xmlns:ns3="f89d9ab8-f711-4670-8bb6-384655445051" targetNamespace="http://schemas.microsoft.com/office/2006/metadata/properties" ma:root="true" ma:fieldsID="2efa55211e6e4806f431184084a01fe1" ns2:_="" ns3:_="">
    <xsd:import namespace="7403c2c6-2717-4fee-bd00-fefff81a513a"/>
    <xsd:import namespace="f89d9ab8-f711-4670-8bb6-3846554450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3c2c6-2717-4fee-bd00-fefff81a5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9ab8-f711-4670-8bb6-3846554450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1E054-C175-4B64-87E4-65D9F59BAC43}">
  <ds:schemaRefs>
    <ds:schemaRef ds:uri="http://schemas.microsoft.com/sharepoint/v3/contenttype/forms"/>
  </ds:schemaRefs>
</ds:datastoreItem>
</file>

<file path=customXml/itemProps2.xml><?xml version="1.0" encoding="utf-8"?>
<ds:datastoreItem xmlns:ds="http://schemas.openxmlformats.org/officeDocument/2006/customXml" ds:itemID="{28E93859-1B81-4E81-8D9A-FF2EB93F4CCC}">
  <ds:schemaRefs>
    <ds:schemaRef ds:uri="http://purl.org/dc/dcmitype/"/>
    <ds:schemaRef ds:uri="http://schemas.microsoft.com/office/infopath/2007/PartnerControls"/>
    <ds:schemaRef ds:uri="b67edeea-5f64-4323-8bb0-24731e63bc8f"/>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2f48f62-0500-4680-a433-08e3934fb57b"/>
    <ds:schemaRef ds:uri="http://www.w3.org/XML/1998/namespace"/>
    <ds:schemaRef ds:uri="http://purl.org/dc/terms/"/>
  </ds:schemaRefs>
</ds:datastoreItem>
</file>

<file path=customXml/itemProps3.xml><?xml version="1.0" encoding="utf-8"?>
<ds:datastoreItem xmlns:ds="http://schemas.openxmlformats.org/officeDocument/2006/customXml" ds:itemID="{31D2788C-F593-42EB-80F4-CAC8C3B18ACD}"/>
</file>

<file path=docProps/app.xml><?xml version="1.0" encoding="utf-8"?>
<Properties xmlns="http://schemas.openxmlformats.org/officeDocument/2006/extended-properties" xmlns:vt="http://schemas.openxmlformats.org/officeDocument/2006/docPropsVTypes">
  <Template>Normal</Template>
  <TotalTime>47</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Appel</dc:creator>
  <cp:keywords/>
  <dc:description/>
  <cp:lastModifiedBy>Rachel Appel</cp:lastModifiedBy>
  <cp:revision>26</cp:revision>
  <dcterms:created xsi:type="dcterms:W3CDTF">2020-05-21T17:27:00Z</dcterms:created>
  <dcterms:modified xsi:type="dcterms:W3CDTF">2020-05-22T13:40:00Z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0x01010095CC4BB02374794F9B136759F3587B63</vt:lpwstr>
  </property>
</Properties>
</file>